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A4D2E" w14:textId="77777777" w:rsidR="00F20610" w:rsidRDefault="004A7130">
      <w:pPr>
        <w:spacing w:before="450" w:after="300"/>
        <w:rPr>
          <w:rFonts w:ascii="Times New Roman" w:eastAsia="Times New Roman" w:hAnsi="Times New Roman" w:cs="Times New Roman"/>
          <w:b/>
          <w:bCs/>
          <w:color w:val="00395A"/>
          <w:sz w:val="60"/>
          <w:szCs w:val="60"/>
        </w:rPr>
      </w:pPr>
      <w:r>
        <w:rPr>
          <w:rFonts w:ascii="Times New Roman" w:eastAsia="Times New Roman" w:hAnsi="Times New Roman" w:cs="Times New Roman"/>
          <w:b/>
          <w:bCs/>
          <w:color w:val="00395A"/>
          <w:sz w:val="60"/>
          <w:szCs w:val="60"/>
        </w:rPr>
        <w:t>Kelly Green</w:t>
      </w:r>
    </w:p>
    <w:p w14:paraId="786F98AD" w14:textId="77777777" w:rsidR="00F20610" w:rsidRDefault="004A7130">
      <w:pPr>
        <w:spacing w:after="240" w:line="240" w:lineRule="auto"/>
        <w:rPr>
          <w:rFonts w:ascii="Arial" w:eastAsia="Arial" w:hAnsi="Arial" w:cs="Arial"/>
          <w:b/>
          <w:bCs/>
          <w:color w:val="00395A"/>
          <w:sz w:val="27"/>
          <w:szCs w:val="27"/>
        </w:rPr>
      </w:pPr>
      <w:r>
        <w:rPr>
          <w:rFonts w:ascii="Arial" w:eastAsia="Arial" w:hAnsi="Arial" w:cs="Arial"/>
          <w:b/>
          <w:bCs/>
          <w:noProof/>
          <w:color w:val="00395A"/>
          <w:sz w:val="27"/>
          <w:szCs w:val="27"/>
        </w:rPr>
        <mc:AlternateContent>
          <mc:Choice Requires="wpg">
            <w:drawing>
              <wp:inline distT="0" distB="0" distL="0" distR="0" wp14:anchorId="552337F0" wp14:editId="4325D445">
                <wp:extent cx="1771650" cy="1227416"/>
                <wp:effectExtent l="0" t="0" r="0" b="0"/>
                <wp:docPr id="1" name="Group 1"/>
                <wp:cNvGraphicFramePr/>
                <a:graphic xmlns:a="http://schemas.openxmlformats.org/drawingml/2006/main">
                  <a:graphicData uri="http://schemas.microsoft.com/office/word/2010/wordprocessingGroup">
                    <wpg:wgp>
                      <wpg:cNvGrpSpPr/>
                      <wpg:grpSpPr>
                        <a:xfrm>
                          <a:off x="0" y="0"/>
                          <a:ext cx="1771650" cy="1227416"/>
                          <a:chOff x="2922225" y="1671150"/>
                          <a:chExt cx="4488775" cy="2993450"/>
                        </a:xfrm>
                      </wpg:grpSpPr>
                      <wpg:grpSp>
                        <wpg:cNvPr id="431770910" name="Group 431770910"/>
                        <wpg:cNvGrpSpPr/>
                        <wpg:grpSpPr>
                          <a:xfrm>
                            <a:off x="4793550" y="3055783"/>
                            <a:ext cx="1104900" cy="1448435"/>
                            <a:chOff x="0" y="0"/>
                            <a:chExt cx="1104900" cy="1448435"/>
                          </a:xfrm>
                        </wpg:grpSpPr>
                        <wps:wsp>
                          <wps:cNvPr id="1710407633" name="Rectangle 1710407633"/>
                          <wps:cNvSpPr/>
                          <wps:spPr>
                            <a:xfrm>
                              <a:off x="0" y="0"/>
                              <a:ext cx="1104900" cy="1448425"/>
                            </a:xfrm>
                            <a:prstGeom prst="rect">
                              <a:avLst/>
                            </a:prstGeom>
                            <a:noFill/>
                            <a:ln>
                              <a:noFill/>
                            </a:ln>
                          </wps:spPr>
                          <wps:txbx>
                            <w:txbxContent>
                              <w:p w14:paraId="15DF260B" w14:textId="77777777" w:rsidR="00F20610" w:rsidRDefault="00F2061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5">
                              <a:alphaModFix/>
                            </a:blip>
                            <a:srcRect/>
                            <a:stretch/>
                          </pic:blipFill>
                          <pic:spPr>
                            <a:xfrm>
                              <a:off x="0" y="0"/>
                              <a:ext cx="1104900" cy="1104900"/>
                            </a:xfrm>
                            <a:prstGeom prst="rect">
                              <a:avLst/>
                            </a:prstGeom>
                            <a:noFill/>
                            <a:ln>
                              <a:noFill/>
                            </a:ln>
                          </pic:spPr>
                        </pic:pic>
                        <wps:wsp>
                          <wps:cNvPr id="1108913231" name="Rectangle 1108913231"/>
                          <wps:cNvSpPr/>
                          <wps:spPr>
                            <a:xfrm>
                              <a:off x="0" y="1104900"/>
                              <a:ext cx="1104900" cy="343535"/>
                            </a:xfrm>
                            <a:prstGeom prst="rect">
                              <a:avLst/>
                            </a:prstGeom>
                            <a:solidFill>
                              <a:srgbClr val="FFFFFF"/>
                            </a:solidFill>
                            <a:ln>
                              <a:noFill/>
                            </a:ln>
                          </wps:spPr>
                          <wps:txbx>
                            <w:txbxContent>
                              <w:p w14:paraId="58E1BB31" w14:textId="77777777" w:rsidR="00F20610" w:rsidRDefault="00F20610">
                                <w:pPr>
                                  <w:spacing w:line="258" w:lineRule="auto"/>
                                  <w:textDirection w:val="btLr"/>
                                </w:pPr>
                              </w:p>
                            </w:txbxContent>
                          </wps:txbx>
                          <wps:bodyPr spcFirstLastPara="1" wrap="square" lIns="91425" tIns="45700" rIns="91425" bIns="45700" anchor="t" anchorCtr="0">
                            <a:noAutofit/>
                          </wps:bodyPr>
                        </wps:wsp>
                      </wpg:grpSp>
                      <pic:pic xmlns:pic="http://schemas.openxmlformats.org/drawingml/2006/picture">
                        <pic:nvPicPr>
                          <pic:cNvPr id="6" name="Shape 6"/>
                          <pic:cNvPicPr preferRelativeResize="0"/>
                        </pic:nvPicPr>
                        <pic:blipFill>
                          <a:blip r:embed="rId6">
                            <a:alphaModFix/>
                          </a:blip>
                          <a:stretch>
                            <a:fillRect/>
                          </a:stretch>
                        </pic:blipFill>
                        <pic:spPr>
                          <a:xfrm>
                            <a:off x="2922225" y="1671150"/>
                            <a:ext cx="4488752" cy="2993436"/>
                          </a:xfrm>
                          <a:prstGeom prst="rect">
                            <a:avLst/>
                          </a:prstGeom>
                          <a:noFill/>
                          <a:ln>
                            <a:noFill/>
                          </a:ln>
                        </pic:spPr>
                      </pic:pic>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771650" cy="1227416"/>
                <wp:effectExtent b="0" l="0" r="0" t="0"/>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771650" cy="1227416"/>
                        </a:xfrm>
                        <a:prstGeom prst="rect"/>
                        <a:ln/>
                      </pic:spPr>
                    </pic:pic>
                  </a:graphicData>
                </a:graphic>
              </wp:inline>
            </w:drawing>
          </mc:Fallback>
        </mc:AlternateContent>
      </w:r>
    </w:p>
    <w:p w14:paraId="6C412EAD" w14:textId="77777777" w:rsidR="00F20610" w:rsidRDefault="004A7130">
      <w:pPr>
        <w:spacing w:after="240" w:line="240" w:lineRule="auto"/>
        <w:rPr>
          <w:rFonts w:ascii="Arial" w:eastAsia="Arial" w:hAnsi="Arial" w:cs="Arial"/>
          <w:color w:val="0081C6"/>
          <w:sz w:val="24"/>
          <w:szCs w:val="24"/>
        </w:rPr>
      </w:pPr>
      <w:r>
        <w:rPr>
          <w:rFonts w:ascii="Arial" w:eastAsia="Arial" w:hAnsi="Arial" w:cs="Arial"/>
          <w:color w:val="0081C6"/>
          <w:sz w:val="24"/>
          <w:szCs w:val="24"/>
        </w:rPr>
        <w:t>Candidate for:</w:t>
      </w:r>
    </w:p>
    <w:p w14:paraId="1BA894D1" w14:textId="77777777" w:rsidR="00F20610" w:rsidRDefault="004A7130">
      <w:pPr>
        <w:spacing w:after="240" w:line="240" w:lineRule="auto"/>
        <w:rPr>
          <w:rFonts w:ascii="Arial" w:eastAsia="Arial" w:hAnsi="Arial" w:cs="Arial"/>
          <w:b/>
          <w:bCs/>
          <w:color w:val="00395A"/>
          <w:sz w:val="27"/>
          <w:szCs w:val="27"/>
        </w:rPr>
      </w:pPr>
      <w:r>
        <w:rPr>
          <w:rFonts w:ascii="Arial" w:eastAsia="Arial" w:hAnsi="Arial" w:cs="Arial"/>
          <w:color w:val="0081C6"/>
          <w:sz w:val="24"/>
          <w:szCs w:val="24"/>
        </w:rPr>
        <w:br/>
      </w:r>
      <w:r>
        <w:rPr>
          <w:rFonts w:ascii="Arial" w:eastAsia="Arial" w:hAnsi="Arial" w:cs="Arial"/>
          <w:color w:val="3B3838"/>
          <w:sz w:val="24"/>
          <w:szCs w:val="24"/>
        </w:rPr>
        <w:t>Judge of the Franklin County Court of Common Pleas, Probate Division</w:t>
      </w:r>
    </w:p>
    <w:p w14:paraId="2D61D40B" w14:textId="77777777" w:rsidR="00F20610" w:rsidRDefault="004A7130">
      <w:pPr>
        <w:spacing w:after="240" w:line="240" w:lineRule="auto"/>
        <w:rPr>
          <w:rFonts w:ascii="Arial" w:eastAsia="Arial" w:hAnsi="Arial" w:cs="Arial"/>
          <w:b/>
          <w:bCs/>
          <w:color w:val="0081C6"/>
          <w:sz w:val="18"/>
          <w:szCs w:val="18"/>
        </w:rPr>
      </w:pPr>
      <w:r>
        <w:rPr>
          <w:rFonts w:ascii="Arial" w:eastAsia="Arial" w:hAnsi="Arial" w:cs="Arial"/>
          <w:b/>
          <w:bCs/>
          <w:color w:val="0081C6"/>
          <w:sz w:val="18"/>
          <w:szCs w:val="18"/>
        </w:rPr>
        <w:t>Undergraduate Education:</w:t>
      </w:r>
    </w:p>
    <w:p w14:paraId="1D1073BA" w14:textId="77777777" w:rsidR="00F20610" w:rsidRDefault="004A7130">
      <w:pPr>
        <w:spacing w:after="240" w:line="240" w:lineRule="auto"/>
        <w:rPr>
          <w:rFonts w:ascii="Arial" w:eastAsia="Arial" w:hAnsi="Arial" w:cs="Arial"/>
          <w:color w:val="414042"/>
          <w:sz w:val="18"/>
          <w:szCs w:val="18"/>
        </w:rPr>
      </w:pPr>
      <w:r>
        <w:rPr>
          <w:rFonts w:ascii="Arial" w:eastAsia="Arial" w:hAnsi="Arial" w:cs="Arial"/>
          <w:b/>
          <w:bCs/>
          <w:color w:val="414042"/>
          <w:sz w:val="18"/>
          <w:szCs w:val="18"/>
        </w:rPr>
        <w:t>Ohio University</w:t>
      </w:r>
      <w:r>
        <w:rPr>
          <w:rFonts w:ascii="Arial" w:eastAsia="Arial" w:hAnsi="Arial" w:cs="Arial"/>
          <w:color w:val="414042"/>
          <w:sz w:val="18"/>
          <w:szCs w:val="18"/>
        </w:rPr>
        <w:t xml:space="preserve"> – Bachelor of Arts in Sociology, </w:t>
      </w:r>
      <w:r>
        <w:rPr>
          <w:rFonts w:ascii="Arial" w:eastAsia="Arial" w:hAnsi="Arial" w:cs="Arial"/>
          <w:i/>
          <w:iCs/>
          <w:color w:val="414042"/>
          <w:sz w:val="18"/>
          <w:szCs w:val="18"/>
        </w:rPr>
        <w:t>magna cum laude</w:t>
      </w:r>
      <w:r>
        <w:rPr>
          <w:rFonts w:ascii="Arial" w:eastAsia="Arial" w:hAnsi="Arial" w:cs="Arial"/>
          <w:color w:val="414042"/>
          <w:sz w:val="18"/>
          <w:szCs w:val="18"/>
        </w:rPr>
        <w:t xml:space="preserve"> (1998) </w:t>
      </w:r>
    </w:p>
    <w:p w14:paraId="1B347639" w14:textId="77777777" w:rsidR="00F20610" w:rsidRDefault="004A7130">
      <w:pPr>
        <w:spacing w:after="240" w:line="240" w:lineRule="auto"/>
        <w:rPr>
          <w:rFonts w:ascii="Arial" w:eastAsia="Arial" w:hAnsi="Arial" w:cs="Arial"/>
          <w:color w:val="414042"/>
          <w:sz w:val="18"/>
          <w:szCs w:val="18"/>
        </w:rPr>
      </w:pPr>
      <w:r>
        <w:rPr>
          <w:rFonts w:ascii="Arial" w:eastAsia="Arial" w:hAnsi="Arial" w:cs="Arial"/>
          <w:color w:val="414042"/>
          <w:sz w:val="18"/>
          <w:szCs w:val="18"/>
        </w:rPr>
        <w:br/>
      </w:r>
      <w:r>
        <w:rPr>
          <w:rFonts w:ascii="Arial" w:eastAsia="Arial" w:hAnsi="Arial" w:cs="Arial"/>
          <w:b/>
          <w:bCs/>
          <w:color w:val="0081C6"/>
          <w:sz w:val="18"/>
          <w:szCs w:val="18"/>
        </w:rPr>
        <w:t>Legal Education:</w:t>
      </w:r>
      <w:r>
        <w:rPr>
          <w:rFonts w:ascii="Arial" w:eastAsia="Arial" w:hAnsi="Arial" w:cs="Arial"/>
          <w:color w:val="414042"/>
          <w:sz w:val="18"/>
          <w:szCs w:val="18"/>
        </w:rPr>
        <w:br/>
      </w:r>
    </w:p>
    <w:p w14:paraId="46A81F68" w14:textId="77777777" w:rsidR="00F20610" w:rsidRDefault="004A7130">
      <w:pPr>
        <w:spacing w:after="240" w:line="240" w:lineRule="auto"/>
        <w:rPr>
          <w:rFonts w:ascii="Arial" w:eastAsia="Arial" w:hAnsi="Arial" w:cs="Arial"/>
          <w:color w:val="414042"/>
          <w:sz w:val="18"/>
          <w:szCs w:val="18"/>
        </w:rPr>
      </w:pPr>
      <w:r>
        <w:rPr>
          <w:rFonts w:ascii="Arial" w:eastAsia="Arial" w:hAnsi="Arial" w:cs="Arial"/>
          <w:b/>
          <w:bCs/>
          <w:color w:val="414042"/>
          <w:sz w:val="18"/>
          <w:szCs w:val="18"/>
        </w:rPr>
        <w:t>New England School of Law</w:t>
      </w:r>
      <w:r>
        <w:rPr>
          <w:rFonts w:ascii="Arial" w:eastAsia="Arial" w:hAnsi="Arial" w:cs="Arial"/>
          <w:color w:val="414042"/>
          <w:sz w:val="18"/>
          <w:szCs w:val="18"/>
        </w:rPr>
        <w:t xml:space="preserve"> – Juris Doctor, </w:t>
      </w:r>
      <w:r>
        <w:rPr>
          <w:rFonts w:ascii="Arial" w:eastAsia="Arial" w:hAnsi="Arial" w:cs="Arial"/>
          <w:i/>
          <w:iCs/>
          <w:color w:val="414042"/>
          <w:sz w:val="18"/>
          <w:szCs w:val="18"/>
        </w:rPr>
        <w:t>magna cum laude</w:t>
      </w:r>
      <w:r>
        <w:rPr>
          <w:rFonts w:ascii="Arial" w:eastAsia="Arial" w:hAnsi="Arial" w:cs="Arial"/>
          <w:color w:val="414042"/>
          <w:sz w:val="18"/>
          <w:szCs w:val="18"/>
        </w:rPr>
        <w:t xml:space="preserve"> (2002) </w:t>
      </w:r>
    </w:p>
    <w:p w14:paraId="3AC9A330" w14:textId="77777777" w:rsidR="00F20610" w:rsidRDefault="004A7130">
      <w:pPr>
        <w:spacing w:after="240" w:line="240" w:lineRule="auto"/>
        <w:rPr>
          <w:rFonts w:ascii="Arial" w:eastAsia="Arial" w:hAnsi="Arial" w:cs="Arial"/>
          <w:b/>
          <w:bCs/>
          <w:color w:val="0081C6"/>
          <w:sz w:val="18"/>
          <w:szCs w:val="18"/>
        </w:rPr>
      </w:pPr>
      <w:r>
        <w:rPr>
          <w:rFonts w:ascii="Arial" w:eastAsia="Arial" w:hAnsi="Arial" w:cs="Arial"/>
          <w:b/>
          <w:bCs/>
          <w:color w:val="0081C6"/>
          <w:sz w:val="18"/>
          <w:szCs w:val="18"/>
        </w:rPr>
        <w:t>Legal Experience:</w:t>
      </w:r>
    </w:p>
    <w:p w14:paraId="64862A13" w14:textId="77777777" w:rsidR="00F20610" w:rsidRDefault="004A7130">
      <w:pPr>
        <w:spacing w:after="240" w:line="240" w:lineRule="auto"/>
        <w:rPr>
          <w:rFonts w:ascii="Arial" w:eastAsia="Arial" w:hAnsi="Arial" w:cs="Arial"/>
          <w:sz w:val="18"/>
          <w:szCs w:val="18"/>
        </w:rPr>
      </w:pPr>
      <w:r>
        <w:rPr>
          <w:rFonts w:ascii="Arial" w:eastAsia="Arial" w:hAnsi="Arial" w:cs="Arial"/>
          <w:sz w:val="18"/>
          <w:szCs w:val="18"/>
        </w:rPr>
        <w:t>Chief Magistrate, Franklin County Probate Court (2021–Present)</w:t>
      </w:r>
    </w:p>
    <w:p w14:paraId="0A08F93E" w14:textId="77777777" w:rsidR="00F20610" w:rsidRDefault="004A7130">
      <w:pPr>
        <w:spacing w:after="240" w:line="240" w:lineRule="auto"/>
        <w:rPr>
          <w:rFonts w:ascii="Arial" w:eastAsia="Arial" w:hAnsi="Arial" w:cs="Arial"/>
          <w:sz w:val="18"/>
          <w:szCs w:val="18"/>
        </w:rPr>
      </w:pPr>
      <w:r>
        <w:rPr>
          <w:rFonts w:ascii="Arial" w:eastAsia="Arial" w:hAnsi="Arial" w:cs="Arial"/>
          <w:sz w:val="18"/>
          <w:szCs w:val="18"/>
        </w:rPr>
        <w:t>General Magistrate, Franklin County Probate Court (2010–2021)</w:t>
      </w:r>
    </w:p>
    <w:p w14:paraId="154E66F0" w14:textId="77777777" w:rsidR="00F20610" w:rsidRDefault="004A7130">
      <w:pPr>
        <w:spacing w:after="240" w:line="240" w:lineRule="auto"/>
        <w:rPr>
          <w:rFonts w:ascii="Arial" w:eastAsia="Arial" w:hAnsi="Arial" w:cs="Arial"/>
          <w:sz w:val="18"/>
          <w:szCs w:val="18"/>
        </w:rPr>
      </w:pPr>
      <w:r>
        <w:rPr>
          <w:rFonts w:ascii="Arial" w:eastAsia="Arial" w:hAnsi="Arial" w:cs="Arial"/>
          <w:sz w:val="18"/>
          <w:szCs w:val="18"/>
        </w:rPr>
        <w:t xml:space="preserve">Staff Attorney, Franklin County Court of Common Pleas, General Division (2002–2010) </w:t>
      </w:r>
    </w:p>
    <w:p w14:paraId="7BCFCD7D" w14:textId="77777777" w:rsidR="00F20610" w:rsidRDefault="004A7130">
      <w:pPr>
        <w:spacing w:after="240" w:line="240" w:lineRule="auto"/>
        <w:rPr>
          <w:rFonts w:ascii="Arial" w:eastAsia="Arial" w:hAnsi="Arial" w:cs="Arial"/>
          <w:color w:val="414042"/>
          <w:sz w:val="18"/>
          <w:szCs w:val="18"/>
        </w:rPr>
      </w:pPr>
      <w:r>
        <w:rPr>
          <w:rFonts w:ascii="Arial" w:eastAsia="Arial" w:hAnsi="Arial" w:cs="Arial"/>
          <w:b/>
          <w:bCs/>
          <w:color w:val="0081C6"/>
          <w:sz w:val="18"/>
          <w:szCs w:val="18"/>
        </w:rPr>
        <w:t>Candidate Statement:</w:t>
      </w:r>
    </w:p>
    <w:p w14:paraId="6E0B3F79" w14:textId="77777777" w:rsidR="00F20610" w:rsidRDefault="004A7130">
      <w:pPr>
        <w:spacing w:before="240" w:after="240"/>
        <w:rPr>
          <w:rFonts w:ascii="Arial" w:eastAsia="Arial" w:hAnsi="Arial" w:cs="Arial"/>
          <w:color w:val="414042"/>
          <w:sz w:val="18"/>
          <w:szCs w:val="18"/>
        </w:rPr>
      </w:pPr>
      <w:r>
        <w:rPr>
          <w:rFonts w:ascii="Arial" w:eastAsia="Arial" w:hAnsi="Arial" w:cs="Arial"/>
          <w:color w:val="414042"/>
          <w:sz w:val="18"/>
          <w:szCs w:val="18"/>
        </w:rPr>
        <w:t>For the past sixteen years, I have served as a judicial officer of the Franklin County Probate Court, including the last five years as Chief Magistrate. During that time, I have presided over virtually every type of case within the Court's jurisdiction while also helping oversee one of Ohio's busiest probate courts.</w:t>
      </w:r>
    </w:p>
    <w:p w14:paraId="408F09F4" w14:textId="77777777" w:rsidR="00F20610" w:rsidRDefault="004A7130">
      <w:pPr>
        <w:spacing w:before="240" w:after="240"/>
        <w:rPr>
          <w:rFonts w:ascii="Arial" w:eastAsia="Arial" w:hAnsi="Arial" w:cs="Arial"/>
          <w:color w:val="414042"/>
          <w:sz w:val="18"/>
          <w:szCs w:val="18"/>
        </w:rPr>
      </w:pPr>
      <w:r>
        <w:rPr>
          <w:rFonts w:ascii="Arial" w:eastAsia="Arial" w:hAnsi="Arial" w:cs="Arial"/>
          <w:color w:val="414042"/>
          <w:sz w:val="18"/>
          <w:szCs w:val="18"/>
        </w:rPr>
        <w:t>The Probate Court serves people during some of life's most important and challenging moments—when a loved one dies, when a family adopts a child, when a vulnerable adult needs a guardian, or when someone is experiencing a mental health crisis. In Ohio, the Probate Judge also serves as the Clerk of the Probate Court, making the position responsible not only for deciding cases but also for leading the Court's operations. My experience has prepared me to fulfill both the judicial and administrative responsibil</w:t>
      </w:r>
      <w:r>
        <w:rPr>
          <w:rFonts w:ascii="Arial" w:eastAsia="Arial" w:hAnsi="Arial" w:cs="Arial"/>
          <w:color w:val="414042"/>
          <w:sz w:val="18"/>
          <w:szCs w:val="18"/>
        </w:rPr>
        <w:t>ities of the office.</w:t>
      </w:r>
    </w:p>
    <w:p w14:paraId="4A7DBF5D" w14:textId="77777777" w:rsidR="00F20610" w:rsidRDefault="004A7130">
      <w:pPr>
        <w:spacing w:before="240" w:after="240"/>
        <w:rPr>
          <w:b/>
          <w:bCs/>
        </w:rPr>
      </w:pPr>
      <w:r>
        <w:rPr>
          <w:rFonts w:ascii="Arial" w:eastAsia="Arial" w:hAnsi="Arial" w:cs="Arial"/>
          <w:color w:val="414042"/>
          <w:sz w:val="18"/>
          <w:szCs w:val="18"/>
        </w:rPr>
        <w:t>In addition to my work in Franklin County, I have been entrusted with teaching judges, magistrates, and attorneys across Ohio and helping improve probate law and court procedures. I have dedicated my career to serving the people of Franklin County with fairness, compassion, and respect, and I would be honored to continue serving the people of Franklin County as their Probate Judge.</w:t>
      </w:r>
    </w:p>
    <w:sectPr w:rsidR="00F206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3FAE55F-FA76-49F3-9F18-FDCAD4265559}"/>
    <w:embedBold r:id="rId2" w:fontKey="{941F4C37-C9C8-41AF-A847-7488451A74D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C84E0EA4-DB65-4F9F-B176-4A78CC9A01D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E7A35B35-C165-4888-B55B-F755630211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610"/>
    <w:rsid w:val="001A01A4"/>
    <w:rsid w:val="004A7130"/>
    <w:rsid w:val="00EB1F06"/>
    <w:rsid w:val="00F2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5F864"/>
  <w15:docId w15:val="{5BAB7B2E-524A-4A12-B348-FD89116B7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ustomXml" Target="../customXml/item3.xml"/><Relationship Id="rId3" Type="http://schemas.openxmlformats.org/officeDocument/2006/relationships/settings" Target="setting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qGCTesHvSZ6Pkwy7bQH0vGDPcQ==">CgMxLjA4AHIhMXdudHhBX0drSUpQRFZfVnBqNG03WmJDWEstNTBGejJF</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3DE4E8472BD1A4DAAE1BC7796853B99" ma:contentTypeVersion="17" ma:contentTypeDescription="Create a new document." ma:contentTypeScope="" ma:versionID="f1155acf05e19c755ccfe54d217c602b">
  <xsd:schema xmlns:xsd="http://www.w3.org/2001/XMLSchema" xmlns:xs="http://www.w3.org/2001/XMLSchema" xmlns:p="http://schemas.microsoft.com/office/2006/metadata/properties" xmlns:ns2="38b5f5fb-5678-4bd8-ab6f-68720419ae8d" xmlns:ns3="f5fa41e2-9c4a-428d-8838-3bd0d20ec7ff" targetNamespace="http://schemas.microsoft.com/office/2006/metadata/properties" ma:root="true" ma:fieldsID="927e070c56559490389268c313145f8e" ns2:_="" ns3:_="">
    <xsd:import namespace="38b5f5fb-5678-4bd8-ab6f-68720419ae8d"/>
    <xsd:import namespace="f5fa41e2-9c4a-428d-8838-3bd0d20ec7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5f5fb-5678-4bd8-ab6f-68720419a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c6c9f88-8d2e-41ec-b352-b114d87d7a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eview" ma:index="23" nillable="true" ma:displayName="preview" ma:format="Thumbnail" ma:internalName="preview">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a41e2-9c4a-428d-8838-3bd0d20ec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c57ec68-01ee-4298-a8e0-5145eb9aa1e2}" ma:internalName="TaxCatchAll" ma:showField="CatchAllData" ma:web="f5fa41e2-9c4a-428d-8838-3bd0d20ec7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5fa41e2-9c4a-428d-8838-3bd0d20ec7ff" xsi:nil="true"/>
    <lcf76f155ced4ddcb4097134ff3c332f xmlns="38b5f5fb-5678-4bd8-ab6f-68720419ae8d">
      <Terms xmlns="http://schemas.microsoft.com/office/infopath/2007/PartnerControls"/>
    </lcf76f155ced4ddcb4097134ff3c332f>
    <preview xmlns="38b5f5fb-5678-4bd8-ab6f-68720419ae8d"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A710A7-C06C-48DC-A198-933D7B535B4A}"/>
</file>

<file path=customXml/itemProps3.xml><?xml version="1.0" encoding="utf-8"?>
<ds:datastoreItem xmlns:ds="http://schemas.openxmlformats.org/officeDocument/2006/customXml" ds:itemID="{3018D7CB-97C2-486D-B82C-2841391C23F4}"/>
</file>

<file path=customXml/itemProps4.xml><?xml version="1.0" encoding="utf-8"?>
<ds:datastoreItem xmlns:ds="http://schemas.openxmlformats.org/officeDocument/2006/customXml" ds:itemID="{41233EDD-6217-450D-87BC-2F69F3618CE4}"/>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Green</dc:creator>
  <cp:lastModifiedBy>Kelly Green</cp:lastModifiedBy>
  <cp:revision>2</cp:revision>
  <dcterms:created xsi:type="dcterms:W3CDTF">2026-07-16T18:09:00Z</dcterms:created>
  <dcterms:modified xsi:type="dcterms:W3CDTF">2026-07-16T18:09:00Z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0x01010033DE4E8472BD1A4DAAE1BC7796853B99</vt:lpwstr>
  </property>
  <property fmtid="{D5CDD505-2E9C-101B-9397-08002B2CF9AE}" pid="3" name="Order">
    <vt:lpwstr>14473600</vt:lpwstr>
  </property>
  <property fmtid="{D5CDD505-2E9C-101B-9397-08002B2CF9AE}" pid="4" name="MediaServiceImageTags">
    <vt:lpwstr/>
  </property>
</Properties>
</file>